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640"/>
        <w:jc w:val="center"/>
        <w:rPr>
          <w:rFonts w:hint="eastAsia" w:ascii="仿宋_GB2312" w:eastAsia="仿宋_GB2312" w:cs="仿宋_GB2312"/>
          <w:b/>
          <w:kern w:val="0"/>
          <w:sz w:val="36"/>
          <w:szCs w:val="36"/>
        </w:rPr>
      </w:pPr>
      <w:r>
        <w:rPr>
          <w:rFonts w:hint="eastAsia" w:ascii="仿宋_GB2312" w:eastAsia="仿宋_GB2312" w:cs="仿宋_GB2312"/>
          <w:b/>
          <w:kern w:val="0"/>
          <w:sz w:val="36"/>
          <w:szCs w:val="36"/>
        </w:rPr>
        <w:t>专利审查协作中心</w:t>
      </w:r>
    </w:p>
    <w:p>
      <w:pPr>
        <w:ind w:firstLine="640"/>
        <w:jc w:val="center"/>
        <w:rPr>
          <w:rFonts w:hint="eastAsia" w:ascii="仿宋_GB2312" w:eastAsia="仿宋_GB2312" w:cs="仿宋_GB2312"/>
          <w:b/>
          <w:kern w:val="0"/>
          <w:sz w:val="32"/>
          <w:szCs w:val="32"/>
        </w:rPr>
      </w:pPr>
      <w:r>
        <w:rPr>
          <w:rFonts w:hint="eastAsia" w:ascii="仿宋_GB2312" w:eastAsia="仿宋_GB2312" w:cs="仿宋_GB2312"/>
          <w:b/>
          <w:kern w:val="0"/>
          <w:sz w:val="36"/>
          <w:szCs w:val="36"/>
        </w:rPr>
        <w:t>面向全国公开招聘专利审查员</w:t>
      </w:r>
    </w:p>
    <w:p>
      <w:pPr>
        <w:ind w:firstLine="640"/>
        <w:rPr>
          <w:rFonts w:hint="eastAsia" w:ascii="仿宋_GB2312" w:eastAsia="仿宋_GB2312" w:cs="仿宋_GB2312"/>
          <w:b/>
          <w:kern w:val="0"/>
          <w:sz w:val="32"/>
          <w:szCs w:val="32"/>
        </w:rPr>
      </w:pPr>
    </w:p>
    <w:p>
      <w:pPr>
        <w:ind w:firstLine="640"/>
        <w:rPr>
          <w:rFonts w:hint="eastAsia" w:ascii="仿宋_GB2312" w:eastAsia="仿宋_GB2312" w:cs="仿宋_GB2312"/>
          <w:b/>
          <w:bCs/>
          <w:kern w:val="0"/>
          <w:sz w:val="32"/>
          <w:szCs w:val="32"/>
        </w:rPr>
      </w:pPr>
      <w:r>
        <w:rPr>
          <w:rFonts w:hint="eastAsia" w:ascii="仿宋_GB2312" w:eastAsia="仿宋_GB2312" w:cs="仿宋_GB2312"/>
          <w:b/>
          <w:bCs/>
          <w:kern w:val="0"/>
          <w:sz w:val="32"/>
          <w:szCs w:val="32"/>
        </w:rPr>
        <w:t>单位简介</w:t>
      </w:r>
    </w:p>
    <w:p>
      <w:pPr>
        <w:ind w:firstLine="640"/>
        <w:rPr>
          <w:rFonts w:hint="eastAsia" w:ascii="仿宋_GB2312" w:eastAsia="仿宋_GB2312" w:cs="仿宋_GB2312"/>
          <w:kern w:val="0"/>
          <w:sz w:val="32"/>
          <w:szCs w:val="32"/>
        </w:rPr>
      </w:pPr>
      <w:r>
        <w:rPr>
          <w:rFonts w:hint="eastAsia" w:ascii="仿宋_GB2312" w:eastAsia="仿宋_GB2312" w:cs="仿宋_GB2312"/>
          <w:b/>
          <w:bCs/>
          <w:kern w:val="0"/>
          <w:sz w:val="32"/>
          <w:szCs w:val="32"/>
        </w:rPr>
        <w:t>专利审查协作中心</w:t>
      </w:r>
      <w:r>
        <w:rPr>
          <w:rFonts w:hint="eastAsia" w:ascii="仿宋_GB2312" w:eastAsia="仿宋_GB2312" w:cs="仿宋_GB2312"/>
          <w:kern w:val="0"/>
          <w:sz w:val="32"/>
          <w:szCs w:val="32"/>
        </w:rPr>
        <w:t>是国家知识产权局专利局的直属事业单位，受专利局委托承担部分专利申请的审查工作，具有独立的法人资格和人事、劳资、财务管理权。目前已在</w:t>
      </w:r>
      <w:r>
        <w:rPr>
          <w:rFonts w:hint="eastAsia" w:ascii="仿宋_GB2312" w:eastAsia="仿宋_GB2312" w:cs="仿宋_GB2312"/>
          <w:b/>
          <w:bCs/>
          <w:kern w:val="0"/>
          <w:sz w:val="32"/>
          <w:szCs w:val="32"/>
        </w:rPr>
        <w:t>北京、苏州、广州、郑州、武汉、天津、成都、福州</w:t>
      </w:r>
      <w:r>
        <w:rPr>
          <w:rFonts w:hint="eastAsia" w:ascii="仿宋_GB2312" w:eastAsia="仿宋_GB2312" w:cs="仿宋_GB2312"/>
          <w:kern w:val="0"/>
          <w:sz w:val="32"/>
          <w:szCs w:val="32"/>
        </w:rPr>
        <w:t>八个城市设立专利审查协作中心或分中心。</w:t>
      </w:r>
    </w:p>
    <w:p>
      <w:pPr>
        <w:ind w:firstLine="640"/>
        <w:rPr>
          <w:rFonts w:hint="eastAsia" w:ascii="仿宋_GB2312" w:eastAsia="仿宋_GB2312" w:cs="仿宋_GB2312"/>
          <w:kern w:val="0"/>
          <w:sz w:val="32"/>
          <w:szCs w:val="32"/>
        </w:rPr>
      </w:pPr>
    </w:p>
    <w:p>
      <w:pPr>
        <w:ind w:firstLine="640"/>
        <w:rPr>
          <w:rFonts w:ascii="仿宋_GB2312" w:eastAsia="仿宋_GB2312" w:cs="仿宋_GB2312"/>
          <w:kern w:val="0"/>
          <w:sz w:val="32"/>
          <w:szCs w:val="32"/>
        </w:rPr>
      </w:pPr>
      <w:r>
        <w:rPr>
          <w:rFonts w:hint="eastAsia" w:ascii="仿宋_GB2312" w:eastAsia="仿宋_GB2312" w:cs="仿宋_GB2312"/>
          <w:b/>
          <w:kern w:val="0"/>
          <w:sz w:val="32"/>
          <w:szCs w:val="32"/>
        </w:rPr>
        <w:t>招聘岗位</w:t>
      </w:r>
    </w:p>
    <w:p>
      <w:pPr>
        <w:ind w:firstLine="640"/>
        <w:rPr>
          <w:rFonts w:hint="eastAsia" w:ascii="仿宋_GB2312" w:eastAsia="仿宋_GB2312" w:cs="仿宋_GB2312"/>
          <w:kern w:val="0"/>
          <w:sz w:val="32"/>
          <w:szCs w:val="32"/>
        </w:rPr>
      </w:pPr>
      <w:r>
        <w:rPr>
          <w:rFonts w:hint="eastAsia" w:ascii="仿宋_GB2312" w:eastAsia="仿宋_GB2312" w:cs="仿宋_GB2312"/>
          <w:kern w:val="0"/>
          <w:sz w:val="32"/>
          <w:szCs w:val="32"/>
        </w:rPr>
        <w:t>招聘岗位：专利审查员      需求人数：</w:t>
      </w:r>
      <w:r>
        <w:rPr>
          <w:rFonts w:hint="eastAsia" w:ascii="仿宋_GB2312" w:eastAsia="仿宋_GB2312" w:cs="仿宋_GB2312"/>
          <w:kern w:val="0"/>
          <w:sz w:val="32"/>
          <w:szCs w:val="32"/>
          <w:lang w:val="en"/>
        </w:rPr>
        <w:t>1500</w:t>
      </w:r>
      <w:r>
        <w:rPr>
          <w:rFonts w:hint="eastAsia" w:ascii="仿宋_GB2312" w:eastAsia="仿宋_GB2312" w:cs="仿宋_GB2312"/>
          <w:kern w:val="0"/>
          <w:sz w:val="32"/>
          <w:szCs w:val="32"/>
        </w:rPr>
        <w:t>人</w:t>
      </w:r>
    </w:p>
    <w:p>
      <w:pPr>
        <w:ind w:firstLine="640"/>
        <w:rPr>
          <w:rFonts w:hint="eastAsia" w:ascii="仿宋_GB2312" w:eastAsia="仿宋_GB2312" w:cs="仿宋_GB2312"/>
          <w:kern w:val="0"/>
          <w:sz w:val="32"/>
          <w:szCs w:val="32"/>
        </w:rPr>
      </w:pPr>
    </w:p>
    <w:p>
      <w:pPr>
        <w:ind w:firstLine="640"/>
        <w:rPr>
          <w:rFonts w:ascii="仿宋_GB2312" w:eastAsia="仿宋_GB2312" w:cs="仿宋_GB2312"/>
          <w:b/>
          <w:bCs/>
          <w:kern w:val="0"/>
          <w:sz w:val="32"/>
          <w:szCs w:val="32"/>
        </w:rPr>
      </w:pPr>
      <w:r>
        <w:rPr>
          <w:rFonts w:hint="eastAsia" w:ascii="仿宋_GB2312" w:eastAsia="仿宋_GB2312" w:cs="仿宋_GB2312"/>
          <w:b/>
          <w:bCs/>
          <w:kern w:val="0"/>
          <w:sz w:val="32"/>
          <w:szCs w:val="32"/>
        </w:rPr>
        <w:t>岗位职责</w:t>
      </w:r>
    </w:p>
    <w:p>
      <w:pPr>
        <w:ind w:firstLine="640"/>
        <w:rPr>
          <w:rFonts w:ascii="仿宋_GB2312" w:eastAsia="仿宋_GB2312" w:cs="仿宋_GB2312"/>
          <w:kern w:val="0"/>
          <w:sz w:val="32"/>
          <w:szCs w:val="32"/>
        </w:rPr>
      </w:pPr>
      <w:r>
        <w:rPr>
          <w:rFonts w:hint="eastAsia" w:ascii="仿宋_GB2312" w:eastAsia="仿宋_GB2312" w:cs="仿宋_GB2312"/>
          <w:kern w:val="0"/>
          <w:sz w:val="32"/>
          <w:szCs w:val="32"/>
        </w:rPr>
        <w:t>专利审查员的主要职责是根据专利法及其实施细则的相关规定对专利申请文件进行审查。</w:t>
      </w:r>
    </w:p>
    <w:p>
      <w:pPr>
        <w:ind w:firstLine="640"/>
        <w:rPr>
          <w:rFonts w:ascii="仿宋_GB2312" w:eastAsia="仿宋_GB2312" w:cs="仿宋_GB2312"/>
          <w:kern w:val="0"/>
          <w:sz w:val="32"/>
          <w:szCs w:val="32"/>
        </w:rPr>
      </w:pPr>
      <w:r>
        <w:rPr>
          <w:rFonts w:hint="eastAsia" w:ascii="仿宋_GB2312" w:eastAsia="仿宋_GB2312" w:cs="仿宋_GB2312"/>
          <w:kern w:val="0"/>
          <w:sz w:val="32"/>
          <w:szCs w:val="32"/>
        </w:rPr>
        <w:t>招聘条件（以招聘平台各职位要求为准）：</w:t>
      </w:r>
    </w:p>
    <w:p>
      <w:pPr>
        <w:pStyle w:val="12"/>
        <w:numPr>
          <w:ilvl w:val="0"/>
          <w:numId w:val="1"/>
        </w:numPr>
        <w:ind w:firstLineChars="0"/>
        <w:rPr>
          <w:rFonts w:ascii="仿宋_GB2312" w:eastAsia="仿宋_GB2312" w:cs="仿宋_GB2312"/>
          <w:kern w:val="0"/>
          <w:sz w:val="32"/>
          <w:szCs w:val="32"/>
        </w:rPr>
      </w:pPr>
      <w:r>
        <w:rPr>
          <w:rFonts w:hint="eastAsia" w:ascii="仿宋_GB2312" w:eastAsia="仿宋_GB2312" w:cs="仿宋_GB2312"/>
          <w:kern w:val="0"/>
          <w:sz w:val="32"/>
          <w:szCs w:val="32"/>
        </w:rPr>
        <w:t>理工科专业</w:t>
      </w:r>
    </w:p>
    <w:p>
      <w:pPr>
        <w:pStyle w:val="12"/>
        <w:numPr>
          <w:ilvl w:val="0"/>
          <w:numId w:val="1"/>
        </w:numPr>
        <w:ind w:firstLineChars="0"/>
        <w:rPr>
          <w:rFonts w:ascii="仿宋_GB2312" w:eastAsia="仿宋_GB2312" w:cs="仿宋_GB2312"/>
          <w:kern w:val="0"/>
          <w:sz w:val="32"/>
          <w:szCs w:val="32"/>
        </w:rPr>
      </w:pPr>
      <w:r>
        <w:rPr>
          <w:rFonts w:hint="eastAsia" w:ascii="仿宋_GB2312" w:eastAsia="仿宋_GB2312" w:cs="仿宋_GB2312"/>
          <w:kern w:val="0"/>
          <w:sz w:val="32"/>
          <w:szCs w:val="32"/>
        </w:rPr>
        <w:t>良好的外语水平</w:t>
      </w:r>
    </w:p>
    <w:p>
      <w:pPr>
        <w:pStyle w:val="12"/>
        <w:numPr>
          <w:ilvl w:val="0"/>
          <w:numId w:val="1"/>
        </w:numPr>
        <w:ind w:firstLineChars="0"/>
        <w:rPr>
          <w:rFonts w:ascii="仿宋_GB2312" w:eastAsia="仿宋_GB2312" w:cs="仿宋_GB2312"/>
          <w:kern w:val="0"/>
          <w:sz w:val="32"/>
          <w:szCs w:val="32"/>
        </w:rPr>
      </w:pPr>
      <w:r>
        <w:rPr>
          <w:rFonts w:hint="eastAsia" w:ascii="仿宋_GB2312" w:eastAsia="仿宋_GB2312" w:cs="仿宋_GB2312"/>
          <w:kern w:val="0"/>
          <w:sz w:val="32"/>
          <w:szCs w:val="32"/>
        </w:rPr>
        <w:t>踏实严谨的工作作风</w:t>
      </w:r>
    </w:p>
    <w:p>
      <w:pPr>
        <w:pStyle w:val="12"/>
        <w:ind w:left="640" w:firstLine="0" w:firstLineChars="0"/>
        <w:rPr>
          <w:rFonts w:ascii="仿宋_GB2312" w:eastAsia="仿宋_GB2312" w:cs="仿宋_GB2312"/>
          <w:kern w:val="0"/>
          <w:sz w:val="32"/>
          <w:szCs w:val="32"/>
        </w:rPr>
      </w:pPr>
    </w:p>
    <w:p>
      <w:pPr>
        <w:ind w:firstLine="640"/>
        <w:rPr>
          <w:rFonts w:hint="eastAsia" w:ascii="仿宋_GB2312" w:eastAsia="仿宋_GB2312" w:cs="仿宋_GB2312"/>
          <w:b/>
          <w:kern w:val="0"/>
          <w:sz w:val="32"/>
          <w:szCs w:val="32"/>
        </w:rPr>
      </w:pPr>
      <w:r>
        <w:rPr>
          <w:rFonts w:hint="eastAsia" w:ascii="仿宋_GB2312" w:eastAsia="仿宋_GB2312" w:cs="仿宋_GB2312"/>
          <w:b/>
          <w:kern w:val="0"/>
          <w:sz w:val="32"/>
          <w:szCs w:val="32"/>
        </w:rPr>
        <w:t>招聘计划</w:t>
      </w:r>
    </w:p>
    <w:p>
      <w:pPr>
        <w:ind w:firstLine="640"/>
        <w:rPr>
          <w:rFonts w:hint="eastAsia" w:ascii="仿宋_GB2312" w:eastAsia="仿宋_GB2312" w:cs="仿宋_GB2312"/>
          <w:bCs/>
          <w:kern w:val="0"/>
          <w:sz w:val="32"/>
          <w:szCs w:val="32"/>
        </w:rPr>
      </w:pPr>
    </w:p>
    <w:tbl>
      <w:tblPr>
        <w:tblStyle w:val="5"/>
        <w:tblW w:w="7340" w:type="dxa"/>
        <w:jc w:val="center"/>
        <w:tblLayout w:type="fixed"/>
        <w:tblCellMar>
          <w:top w:w="0" w:type="dxa"/>
          <w:left w:w="108" w:type="dxa"/>
          <w:bottom w:w="0" w:type="dxa"/>
          <w:right w:w="108" w:type="dxa"/>
        </w:tblCellMar>
      </w:tblPr>
      <w:tblGrid>
        <w:gridCol w:w="2067"/>
        <w:gridCol w:w="2068"/>
        <w:gridCol w:w="3205"/>
      </w:tblGrid>
      <w:tr>
        <w:tblPrEx>
          <w:tblCellMar>
            <w:top w:w="0" w:type="dxa"/>
            <w:left w:w="108" w:type="dxa"/>
            <w:bottom w:w="0" w:type="dxa"/>
            <w:right w:w="108" w:type="dxa"/>
          </w:tblCellMar>
        </w:tblPrEx>
        <w:trPr>
          <w:trHeight w:val="862" w:hRule="atLeast"/>
          <w:jc w:val="center"/>
        </w:trPr>
        <w:tc>
          <w:tcPr>
            <w:tcW w:w="4135" w:type="dxa"/>
            <w:gridSpan w:val="2"/>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单位名称</w:t>
            </w:r>
          </w:p>
        </w:tc>
        <w:tc>
          <w:tcPr>
            <w:tcW w:w="3205" w:type="dxa"/>
            <w:tcBorders>
              <w:top w:val="single" w:color="auto" w:sz="4" w:space="0"/>
              <w:left w:val="nil"/>
              <w:bottom w:val="single" w:color="auto" w:sz="4" w:space="0"/>
              <w:right w:val="single" w:color="auto" w:sz="4" w:space="0"/>
            </w:tcBorders>
            <w:shd w:val="clear" w:color="000000" w:fill="FFFFFF"/>
            <w:noWrap w:val="0"/>
            <w:vAlign w:val="center"/>
          </w:tcPr>
          <w:p>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招聘人数</w:t>
            </w:r>
          </w:p>
        </w:tc>
      </w:tr>
      <w:tr>
        <w:tblPrEx>
          <w:tblCellMar>
            <w:top w:w="0" w:type="dxa"/>
            <w:left w:w="108" w:type="dxa"/>
            <w:bottom w:w="0" w:type="dxa"/>
            <w:right w:w="108" w:type="dxa"/>
          </w:tblCellMar>
        </w:tblPrEx>
        <w:trPr>
          <w:trHeight w:val="411" w:hRule="atLeast"/>
          <w:jc w:val="center"/>
        </w:trPr>
        <w:tc>
          <w:tcPr>
            <w:tcW w:w="2067" w:type="dxa"/>
            <w:vMerge w:val="restart"/>
            <w:tcBorders>
              <w:top w:val="nil"/>
              <w:left w:val="single" w:color="auto" w:sz="4" w:space="0"/>
              <w:right w:val="single" w:color="auto" w:sz="4" w:space="0"/>
            </w:tcBorders>
            <w:shd w:val="clear" w:color="auto" w:fill="auto"/>
            <w:noWrap w:val="0"/>
            <w:vAlign w:val="center"/>
          </w:tcPr>
          <w:p>
            <w:pPr>
              <w:widowControl/>
              <w:spacing w:line="15" w:lineRule="auto"/>
              <w:jc w:val="center"/>
              <w:rPr>
                <w:rFonts w:hint="eastAsia" w:ascii="仿宋_GB2312" w:hAnsi="宋体" w:eastAsia="仿宋_GB2312" w:cs="宋体"/>
                <w:b/>
                <w:bCs/>
                <w:kern w:val="0"/>
                <w:sz w:val="24"/>
              </w:rPr>
            </w:pPr>
            <w:r>
              <w:rPr>
                <w:rFonts w:hint="eastAsia" w:ascii="仿宋_GB2312" w:hAnsi="宋体" w:eastAsia="仿宋_GB2312" w:cs="宋体"/>
                <w:b/>
                <w:bCs/>
                <w:kern w:val="0"/>
                <w:sz w:val="24"/>
              </w:rPr>
              <w:t>专利审查协作</w:t>
            </w:r>
          </w:p>
          <w:p>
            <w:pPr>
              <w:widowControl/>
              <w:spacing w:line="15" w:lineRule="auto"/>
              <w:jc w:val="center"/>
              <w:rPr>
                <w:rFonts w:hint="eastAsia" w:ascii="仿宋_GB2312" w:hAnsi="宋体" w:eastAsia="仿宋_GB2312" w:cs="宋体"/>
                <w:b/>
                <w:bCs/>
                <w:kern w:val="0"/>
                <w:sz w:val="24"/>
              </w:rPr>
            </w:pPr>
            <w:r>
              <w:rPr>
                <w:rFonts w:hint="eastAsia" w:ascii="仿宋_GB2312" w:hAnsi="宋体" w:eastAsia="仿宋_GB2312" w:cs="宋体"/>
                <w:b/>
                <w:bCs/>
                <w:kern w:val="0"/>
                <w:sz w:val="24"/>
              </w:rPr>
              <w:t>北京中心</w:t>
            </w:r>
          </w:p>
        </w:tc>
        <w:tc>
          <w:tcPr>
            <w:tcW w:w="2068"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15" w:lineRule="auto"/>
              <w:jc w:val="center"/>
              <w:rPr>
                <w:rFonts w:hint="eastAsia" w:ascii="仿宋_GB2312" w:hAnsi="宋体" w:eastAsia="仿宋_GB2312" w:cs="宋体"/>
                <w:b/>
                <w:bCs/>
                <w:kern w:val="0"/>
                <w:sz w:val="24"/>
              </w:rPr>
            </w:pPr>
            <w:r>
              <w:rPr>
                <w:rFonts w:hint="eastAsia" w:ascii="仿宋_GB2312" w:hAnsi="宋体" w:eastAsia="仿宋_GB2312" w:cs="宋体"/>
                <w:b/>
                <w:bCs/>
                <w:kern w:val="0"/>
                <w:sz w:val="24"/>
              </w:rPr>
              <w:t>北京</w:t>
            </w:r>
          </w:p>
        </w:tc>
        <w:tc>
          <w:tcPr>
            <w:tcW w:w="3205" w:type="dxa"/>
            <w:tcBorders>
              <w:top w:val="nil"/>
              <w:left w:val="nil"/>
              <w:bottom w:val="single" w:color="auto" w:sz="4" w:space="0"/>
              <w:right w:val="single" w:color="auto" w:sz="4" w:space="0"/>
            </w:tcBorders>
            <w:shd w:val="clear" w:color="000000" w:fill="FFFFFF"/>
            <w:noWrap w:val="0"/>
            <w:vAlign w:val="center"/>
          </w:tcPr>
          <w:p>
            <w:pPr>
              <w:widowControl/>
              <w:spacing w:line="15" w:lineRule="auto"/>
              <w:jc w:val="center"/>
              <w:rPr>
                <w:rFonts w:ascii="仿宋_GB2312" w:hAnsi="宋体" w:eastAsia="仿宋_GB2312" w:cs="宋体"/>
                <w:b/>
                <w:bCs/>
                <w:kern w:val="0"/>
                <w:sz w:val="24"/>
              </w:rPr>
            </w:pPr>
            <w:r>
              <w:rPr>
                <w:rFonts w:hint="eastAsia" w:ascii="仿宋_GB2312" w:hAnsi="宋体" w:eastAsia="仿宋_GB2312" w:cs="宋体"/>
                <w:b/>
                <w:bCs/>
                <w:kern w:val="0"/>
                <w:sz w:val="24"/>
              </w:rPr>
              <w:t>230人</w:t>
            </w:r>
          </w:p>
        </w:tc>
      </w:tr>
      <w:tr>
        <w:tblPrEx>
          <w:tblCellMar>
            <w:top w:w="0" w:type="dxa"/>
            <w:left w:w="108" w:type="dxa"/>
            <w:bottom w:w="0" w:type="dxa"/>
            <w:right w:w="108" w:type="dxa"/>
          </w:tblCellMar>
        </w:tblPrEx>
        <w:trPr>
          <w:trHeight w:val="285" w:hRule="atLeast"/>
          <w:jc w:val="center"/>
        </w:trPr>
        <w:tc>
          <w:tcPr>
            <w:tcW w:w="2067" w:type="dxa"/>
            <w:vMerge w:val="continue"/>
            <w:tcBorders>
              <w:left w:val="single" w:color="auto" w:sz="4" w:space="0"/>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b/>
                <w:bCs/>
                <w:kern w:val="0"/>
                <w:sz w:val="24"/>
              </w:rPr>
            </w:pPr>
          </w:p>
        </w:tc>
        <w:tc>
          <w:tcPr>
            <w:tcW w:w="2068"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b/>
                <w:bCs/>
                <w:kern w:val="0"/>
                <w:sz w:val="24"/>
              </w:rPr>
            </w:pPr>
            <w:r>
              <w:rPr>
                <w:rFonts w:hint="eastAsia" w:ascii="仿宋_GB2312" w:hAnsi="宋体" w:eastAsia="仿宋_GB2312" w:cs="宋体"/>
                <w:b/>
                <w:bCs/>
                <w:kern w:val="0"/>
                <w:sz w:val="24"/>
              </w:rPr>
              <w:t>福建</w:t>
            </w:r>
          </w:p>
        </w:tc>
        <w:tc>
          <w:tcPr>
            <w:tcW w:w="3205" w:type="dxa"/>
            <w:tcBorders>
              <w:top w:val="nil"/>
              <w:left w:val="nil"/>
              <w:bottom w:val="single" w:color="auto" w:sz="4" w:space="0"/>
              <w:right w:val="single" w:color="auto" w:sz="4" w:space="0"/>
            </w:tcBorders>
            <w:shd w:val="clear" w:color="000000" w:fill="FFFFFF"/>
            <w:noWrap w:val="0"/>
            <w:vAlign w:val="center"/>
          </w:tcPr>
          <w:p>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140人</w:t>
            </w:r>
          </w:p>
        </w:tc>
      </w:tr>
      <w:tr>
        <w:tblPrEx>
          <w:tblCellMar>
            <w:top w:w="0" w:type="dxa"/>
            <w:left w:w="108" w:type="dxa"/>
            <w:bottom w:w="0" w:type="dxa"/>
            <w:right w:w="108" w:type="dxa"/>
          </w:tblCellMar>
        </w:tblPrEx>
        <w:trPr>
          <w:trHeight w:val="285" w:hRule="atLeast"/>
          <w:jc w:val="center"/>
        </w:trPr>
        <w:tc>
          <w:tcPr>
            <w:tcW w:w="4135"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专利审查协作江苏中心</w:t>
            </w:r>
          </w:p>
        </w:tc>
        <w:tc>
          <w:tcPr>
            <w:tcW w:w="3205" w:type="dxa"/>
            <w:tcBorders>
              <w:top w:val="single" w:color="auto" w:sz="4" w:space="0"/>
              <w:left w:val="nil"/>
              <w:bottom w:val="single" w:color="auto" w:sz="4" w:space="0"/>
              <w:right w:val="single" w:color="auto" w:sz="4" w:space="0"/>
            </w:tcBorders>
            <w:shd w:val="clear" w:color="000000" w:fill="FFFFFF"/>
            <w:noWrap w:val="0"/>
            <w:vAlign w:val="center"/>
          </w:tcPr>
          <w:p>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240人</w:t>
            </w:r>
          </w:p>
        </w:tc>
      </w:tr>
      <w:tr>
        <w:tblPrEx>
          <w:tblCellMar>
            <w:top w:w="0" w:type="dxa"/>
            <w:left w:w="108" w:type="dxa"/>
            <w:bottom w:w="0" w:type="dxa"/>
            <w:right w:w="108" w:type="dxa"/>
          </w:tblCellMar>
        </w:tblPrEx>
        <w:trPr>
          <w:trHeight w:val="285" w:hRule="atLeast"/>
          <w:jc w:val="center"/>
        </w:trPr>
        <w:tc>
          <w:tcPr>
            <w:tcW w:w="4135"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专利审查协作广东中心</w:t>
            </w:r>
          </w:p>
        </w:tc>
        <w:tc>
          <w:tcPr>
            <w:tcW w:w="3205" w:type="dxa"/>
            <w:tcBorders>
              <w:top w:val="single" w:color="auto" w:sz="4" w:space="0"/>
              <w:left w:val="nil"/>
              <w:bottom w:val="single" w:color="auto" w:sz="4" w:space="0"/>
              <w:right w:val="single" w:color="auto" w:sz="4" w:space="0"/>
            </w:tcBorders>
            <w:shd w:val="clear" w:color="000000" w:fill="FFFFFF"/>
            <w:noWrap w:val="0"/>
            <w:vAlign w:val="center"/>
          </w:tcPr>
          <w:p>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230人</w:t>
            </w:r>
          </w:p>
        </w:tc>
      </w:tr>
      <w:tr>
        <w:tblPrEx>
          <w:tblCellMar>
            <w:top w:w="0" w:type="dxa"/>
            <w:left w:w="108" w:type="dxa"/>
            <w:bottom w:w="0" w:type="dxa"/>
            <w:right w:w="108" w:type="dxa"/>
          </w:tblCellMar>
        </w:tblPrEx>
        <w:trPr>
          <w:trHeight w:val="285" w:hRule="atLeast"/>
          <w:jc w:val="center"/>
        </w:trPr>
        <w:tc>
          <w:tcPr>
            <w:tcW w:w="4135"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专利审查协作河南中心</w:t>
            </w:r>
          </w:p>
        </w:tc>
        <w:tc>
          <w:tcPr>
            <w:tcW w:w="3205" w:type="dxa"/>
            <w:tcBorders>
              <w:top w:val="single" w:color="auto" w:sz="4" w:space="0"/>
              <w:left w:val="nil"/>
              <w:bottom w:val="single" w:color="auto" w:sz="4" w:space="0"/>
              <w:right w:val="single" w:color="auto" w:sz="4" w:space="0"/>
            </w:tcBorders>
            <w:shd w:val="clear" w:color="000000" w:fill="FFFFFF"/>
            <w:noWrap w:val="0"/>
            <w:vAlign w:val="center"/>
          </w:tcPr>
          <w:p>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180人</w:t>
            </w:r>
          </w:p>
        </w:tc>
      </w:tr>
      <w:tr>
        <w:tblPrEx>
          <w:tblCellMar>
            <w:top w:w="0" w:type="dxa"/>
            <w:left w:w="108" w:type="dxa"/>
            <w:bottom w:w="0" w:type="dxa"/>
            <w:right w:w="108" w:type="dxa"/>
          </w:tblCellMar>
        </w:tblPrEx>
        <w:trPr>
          <w:trHeight w:val="285" w:hRule="atLeast"/>
          <w:jc w:val="center"/>
        </w:trPr>
        <w:tc>
          <w:tcPr>
            <w:tcW w:w="4135"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专利审查协作湖北中心</w:t>
            </w:r>
          </w:p>
        </w:tc>
        <w:tc>
          <w:tcPr>
            <w:tcW w:w="3205" w:type="dxa"/>
            <w:tcBorders>
              <w:top w:val="single" w:color="auto" w:sz="4" w:space="0"/>
              <w:left w:val="nil"/>
              <w:bottom w:val="single" w:color="auto" w:sz="4" w:space="0"/>
              <w:right w:val="single" w:color="auto" w:sz="4" w:space="0"/>
            </w:tcBorders>
            <w:shd w:val="clear" w:color="000000" w:fill="FFFFFF"/>
            <w:noWrap w:val="0"/>
            <w:vAlign w:val="center"/>
          </w:tcPr>
          <w:p>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180人</w:t>
            </w:r>
          </w:p>
        </w:tc>
      </w:tr>
      <w:tr>
        <w:tblPrEx>
          <w:tblCellMar>
            <w:top w:w="0" w:type="dxa"/>
            <w:left w:w="108" w:type="dxa"/>
            <w:bottom w:w="0" w:type="dxa"/>
            <w:right w:w="108" w:type="dxa"/>
          </w:tblCellMar>
        </w:tblPrEx>
        <w:trPr>
          <w:trHeight w:val="285" w:hRule="atLeast"/>
          <w:jc w:val="center"/>
        </w:trPr>
        <w:tc>
          <w:tcPr>
            <w:tcW w:w="4135"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专利审查协作天津中心</w:t>
            </w:r>
          </w:p>
        </w:tc>
        <w:tc>
          <w:tcPr>
            <w:tcW w:w="3205" w:type="dxa"/>
            <w:tcBorders>
              <w:top w:val="single" w:color="auto" w:sz="4" w:space="0"/>
              <w:left w:val="nil"/>
              <w:bottom w:val="single" w:color="auto" w:sz="4" w:space="0"/>
              <w:right w:val="single" w:color="auto" w:sz="4" w:space="0"/>
            </w:tcBorders>
            <w:shd w:val="clear" w:color="000000" w:fill="FFFFFF"/>
            <w:noWrap w:val="0"/>
            <w:vAlign w:val="center"/>
          </w:tcPr>
          <w:p>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90人</w:t>
            </w:r>
          </w:p>
        </w:tc>
      </w:tr>
      <w:tr>
        <w:tblPrEx>
          <w:tblCellMar>
            <w:top w:w="0" w:type="dxa"/>
            <w:left w:w="108" w:type="dxa"/>
            <w:bottom w:w="0" w:type="dxa"/>
            <w:right w:w="108" w:type="dxa"/>
          </w:tblCellMar>
        </w:tblPrEx>
        <w:trPr>
          <w:trHeight w:val="285" w:hRule="atLeast"/>
          <w:jc w:val="center"/>
        </w:trPr>
        <w:tc>
          <w:tcPr>
            <w:tcW w:w="4135"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专利审查协作四川中心</w:t>
            </w:r>
          </w:p>
        </w:tc>
        <w:tc>
          <w:tcPr>
            <w:tcW w:w="3205" w:type="dxa"/>
            <w:tcBorders>
              <w:top w:val="single" w:color="auto" w:sz="4" w:space="0"/>
              <w:left w:val="nil"/>
              <w:bottom w:val="single" w:color="auto" w:sz="4" w:space="0"/>
              <w:right w:val="single" w:color="auto" w:sz="4" w:space="0"/>
            </w:tcBorders>
            <w:shd w:val="clear" w:color="000000" w:fill="FFFFFF"/>
            <w:noWrap w:val="0"/>
            <w:vAlign w:val="center"/>
          </w:tcPr>
          <w:p>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210人</w:t>
            </w:r>
          </w:p>
        </w:tc>
      </w:tr>
      <w:tr>
        <w:tblPrEx>
          <w:tblCellMar>
            <w:top w:w="0" w:type="dxa"/>
            <w:left w:w="108" w:type="dxa"/>
            <w:bottom w:w="0" w:type="dxa"/>
            <w:right w:w="108" w:type="dxa"/>
          </w:tblCellMar>
        </w:tblPrEx>
        <w:trPr>
          <w:trHeight w:val="285" w:hRule="atLeast"/>
          <w:jc w:val="center"/>
        </w:trPr>
        <w:tc>
          <w:tcPr>
            <w:tcW w:w="4135"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合   计</w:t>
            </w:r>
          </w:p>
        </w:tc>
        <w:tc>
          <w:tcPr>
            <w:tcW w:w="3205" w:type="dxa"/>
            <w:tcBorders>
              <w:top w:val="single" w:color="auto" w:sz="4" w:space="0"/>
              <w:left w:val="nil"/>
              <w:bottom w:val="single" w:color="auto" w:sz="4" w:space="0"/>
              <w:right w:val="single" w:color="auto" w:sz="4" w:space="0"/>
            </w:tcBorders>
            <w:shd w:val="clear" w:color="000000" w:fill="FFFFFF"/>
            <w:noWrap w:val="0"/>
            <w:vAlign w:val="center"/>
          </w:tcPr>
          <w:p>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1500人</w:t>
            </w:r>
          </w:p>
        </w:tc>
      </w:tr>
    </w:tbl>
    <w:p>
      <w:pPr>
        <w:rPr>
          <w:rFonts w:hint="eastAsia" w:ascii="仿宋_GB2312" w:eastAsia="仿宋_GB2312" w:cs="仿宋_GB2312"/>
          <w:kern w:val="0"/>
          <w:sz w:val="32"/>
          <w:szCs w:val="32"/>
        </w:rPr>
      </w:pPr>
    </w:p>
    <w:p>
      <w:pPr>
        <w:ind w:firstLine="640"/>
        <w:rPr>
          <w:rFonts w:hint="eastAsia" w:ascii="仿宋_GB2312" w:eastAsia="仿宋_GB2312"/>
          <w:b/>
          <w:bCs/>
          <w:sz w:val="32"/>
          <w:szCs w:val="32"/>
        </w:rPr>
      </w:pPr>
      <w:r>
        <w:rPr>
          <w:rFonts w:hint="eastAsia" w:ascii="仿宋_GB2312" w:eastAsia="仿宋_GB2312"/>
          <w:b/>
          <w:bCs/>
          <w:sz w:val="32"/>
          <w:szCs w:val="32"/>
        </w:rPr>
        <w:t>福利待遇</w:t>
      </w:r>
    </w:p>
    <w:p>
      <w:pPr>
        <w:ind w:firstLine="640"/>
        <w:rPr>
          <w:rFonts w:hint="eastAsia" w:ascii="仿宋_GB2312" w:eastAsia="仿宋_GB2312"/>
          <w:sz w:val="32"/>
          <w:szCs w:val="32"/>
        </w:rPr>
      </w:pPr>
      <w:r>
        <w:rPr>
          <w:rFonts w:hint="eastAsia" w:ascii="仿宋_GB2312" w:eastAsia="仿宋_GB2312"/>
          <w:b/>
          <w:bCs/>
          <w:sz w:val="32"/>
          <w:szCs w:val="32"/>
        </w:rPr>
        <w:t>完备的保障体系</w:t>
      </w:r>
      <w:r>
        <w:rPr>
          <w:rFonts w:hint="eastAsia" w:ascii="仿宋_GB2312" w:eastAsia="仿宋_GB2312"/>
          <w:sz w:val="32"/>
          <w:szCs w:val="32"/>
        </w:rPr>
        <w:t>：缴纳五险一金及补充医疗险、提供年度体检、节日慰问、食堂供应三餐等。</w:t>
      </w:r>
    </w:p>
    <w:p>
      <w:pPr>
        <w:ind w:firstLine="640"/>
        <w:rPr>
          <w:rFonts w:hint="eastAsia" w:ascii="仿宋_GB2312" w:eastAsia="仿宋_GB2312"/>
          <w:sz w:val="32"/>
          <w:szCs w:val="32"/>
        </w:rPr>
      </w:pPr>
      <w:r>
        <w:rPr>
          <w:rFonts w:hint="eastAsia" w:ascii="仿宋_GB2312" w:eastAsia="仿宋_GB2312"/>
          <w:b/>
          <w:bCs/>
          <w:sz w:val="32"/>
          <w:szCs w:val="32"/>
        </w:rPr>
        <w:t>体贴的休假制度</w:t>
      </w:r>
      <w:r>
        <w:rPr>
          <w:rFonts w:hint="eastAsia" w:ascii="仿宋_GB2312" w:eastAsia="仿宋_GB2312"/>
          <w:sz w:val="32"/>
          <w:szCs w:val="32"/>
        </w:rPr>
        <w:t>：弹性的工作时间，周末双休，享受年假、探亲假、婚假等国家规定的所有假期。</w:t>
      </w:r>
    </w:p>
    <w:p>
      <w:pPr>
        <w:ind w:firstLine="640"/>
        <w:rPr>
          <w:rFonts w:hint="eastAsia" w:ascii="仿宋_GB2312" w:eastAsia="仿宋_GB2312"/>
          <w:sz w:val="32"/>
          <w:szCs w:val="32"/>
        </w:rPr>
      </w:pPr>
      <w:r>
        <w:rPr>
          <w:rFonts w:hint="eastAsia" w:ascii="仿宋_GB2312" w:eastAsia="仿宋_GB2312"/>
          <w:b/>
          <w:bCs/>
          <w:sz w:val="32"/>
          <w:szCs w:val="32"/>
        </w:rPr>
        <w:t>丰富的文化生活</w:t>
      </w:r>
      <w:r>
        <w:rPr>
          <w:rFonts w:hint="eastAsia" w:ascii="仿宋_GB2312" w:eastAsia="仿宋_GB2312"/>
          <w:sz w:val="32"/>
          <w:szCs w:val="32"/>
        </w:rPr>
        <w:t>：配备有图书室、健身房、篮球场、瑜伽室等场地，有舞蹈、羽毛球、乒乓球等十多个文体协会。</w:t>
      </w:r>
    </w:p>
    <w:p>
      <w:pPr>
        <w:ind w:firstLine="640"/>
        <w:rPr>
          <w:rFonts w:hint="eastAsia" w:ascii="仿宋_GB2312" w:eastAsia="仿宋_GB2312"/>
          <w:sz w:val="32"/>
          <w:szCs w:val="32"/>
        </w:rPr>
      </w:pPr>
      <w:r>
        <w:rPr>
          <w:rFonts w:hint="eastAsia" w:ascii="仿宋_GB2312" w:eastAsia="仿宋_GB2312"/>
          <w:b/>
          <w:bCs/>
          <w:sz w:val="32"/>
          <w:szCs w:val="32"/>
        </w:rPr>
        <w:t>舒适的办公环境</w:t>
      </w:r>
      <w:r>
        <w:rPr>
          <w:rFonts w:hint="eastAsia" w:ascii="仿宋_GB2312" w:eastAsia="仿宋_GB2312"/>
          <w:sz w:val="32"/>
          <w:szCs w:val="32"/>
        </w:rPr>
        <w:t>：花园式的办公园区，宽敞明亮的独立工位，环境舒适，设施齐全。</w:t>
      </w:r>
    </w:p>
    <w:p>
      <w:pPr>
        <w:ind w:firstLine="640"/>
        <w:rPr>
          <w:rFonts w:hint="eastAsia" w:ascii="仿宋_GB2312" w:eastAsia="仿宋_GB2312" w:cs="仿宋_GB2312"/>
          <w:kern w:val="0"/>
          <w:sz w:val="32"/>
          <w:szCs w:val="32"/>
        </w:rPr>
      </w:pPr>
      <w:r>
        <w:rPr>
          <w:rFonts w:hint="eastAsia" w:ascii="仿宋_GB2312" w:eastAsia="仿宋_GB2312"/>
          <w:b/>
          <w:bCs/>
          <w:sz w:val="32"/>
          <w:szCs w:val="32"/>
        </w:rPr>
        <w:t>良好的成才氛围</w:t>
      </w:r>
      <w:r>
        <w:rPr>
          <w:rFonts w:hint="eastAsia" w:ascii="仿宋_GB2312" w:eastAsia="仿宋_GB2312"/>
          <w:sz w:val="32"/>
          <w:szCs w:val="32"/>
        </w:rPr>
        <w:t>：提供全方位培训，多渠道多方式开展人才能力培养，在中心事业发展中实现个人成长成才。</w:t>
      </w:r>
    </w:p>
    <w:p>
      <w:pPr>
        <w:rPr>
          <w:rFonts w:hint="eastAsia" w:ascii="仿宋_GB2312" w:eastAsia="仿宋_GB2312" w:cs="仿宋_GB2312"/>
          <w:b/>
          <w:bCs/>
          <w:kern w:val="0"/>
          <w:sz w:val="32"/>
          <w:szCs w:val="32"/>
        </w:rPr>
      </w:pPr>
    </w:p>
    <w:p>
      <w:pPr>
        <w:ind w:firstLine="643" w:firstLineChars="200"/>
        <w:rPr>
          <w:rFonts w:ascii="仿宋_GB2312" w:eastAsia="仿宋_GB2312" w:cs="仿宋_GB2312"/>
          <w:b/>
          <w:bCs/>
          <w:kern w:val="0"/>
          <w:sz w:val="32"/>
          <w:szCs w:val="32"/>
        </w:rPr>
      </w:pPr>
      <w:r>
        <w:rPr>
          <w:rFonts w:hint="eastAsia" w:ascii="仿宋_GB2312" w:eastAsia="仿宋_GB2312" w:cs="仿宋_GB2312"/>
          <w:b/>
          <w:bCs/>
          <w:kern w:val="0"/>
          <w:sz w:val="32"/>
          <w:szCs w:val="32"/>
        </w:rPr>
        <w:t>招聘流程：</w:t>
      </w:r>
    </w:p>
    <w:p>
      <w:pPr>
        <w:ind w:firstLine="480" w:firstLineChars="150"/>
        <w:rPr>
          <w:rFonts w:hint="eastAsia" w:ascii="仿宋_GB2312" w:eastAsia="仿宋_GB2312" w:cs="仿宋_GB2312"/>
          <w:bCs/>
          <w:kern w:val="0"/>
          <w:sz w:val="32"/>
          <w:szCs w:val="32"/>
        </w:rPr>
      </w:pPr>
      <w:r>
        <w:rPr>
          <w:rFonts w:hint="eastAsia" w:ascii="仿宋_GB2312" w:eastAsia="仿宋_GB2312" w:cs="仿宋_GB2312"/>
          <w:bCs/>
          <w:kern w:val="0"/>
          <w:sz w:val="32"/>
          <w:szCs w:val="32"/>
        </w:rPr>
        <w:t xml:space="preserve"> 填写简历-在线测评（报名完成）-资格审查-笔试-面试-体检-公示录用</w:t>
      </w:r>
    </w:p>
    <w:p>
      <w:pPr>
        <w:ind w:firstLine="480" w:firstLineChars="150"/>
        <w:rPr>
          <w:rFonts w:ascii="仿宋_GB2312" w:eastAsia="仿宋_GB2312" w:cs="仿宋_GB2312"/>
          <w:bCs/>
          <w:kern w:val="0"/>
          <w:sz w:val="32"/>
          <w:szCs w:val="32"/>
        </w:rPr>
      </w:pPr>
    </w:p>
    <w:p>
      <w:pPr>
        <w:rPr>
          <w:rFonts w:ascii="仿宋_GB2312" w:eastAsia="仿宋_GB2312" w:cs="仿宋_GB2312"/>
          <w:bCs/>
          <w:kern w:val="0"/>
          <w:sz w:val="32"/>
          <w:szCs w:val="32"/>
        </w:rPr>
      </w:pPr>
      <w:r>
        <w:rPr>
          <w:rFonts w:hint="eastAsia" w:ascii="仿宋_GB2312" w:eastAsia="仿宋_GB2312" w:cs="仿宋_GB2312"/>
          <w:b/>
          <w:bCs/>
          <w:kern w:val="0"/>
          <w:sz w:val="32"/>
          <w:szCs w:val="32"/>
        </w:rPr>
        <w:t xml:space="preserve">    报名通道</w:t>
      </w:r>
    </w:p>
    <w:p>
      <w:pPr>
        <w:ind w:firstLine="640" w:firstLineChars="200"/>
        <w:rPr>
          <w:rFonts w:ascii="仿宋_GB2312" w:eastAsia="仿宋_GB2312" w:cs="仿宋_GB2312"/>
          <w:bCs/>
          <w:kern w:val="0"/>
          <w:sz w:val="32"/>
          <w:szCs w:val="32"/>
        </w:rPr>
      </w:pPr>
      <w:bookmarkStart w:id="2" w:name="_GoBack"/>
      <w:r>
        <w:rPr>
          <w:rFonts w:ascii="仿宋_GB2312" w:eastAsia="仿宋_GB2312" w:cs="仿宋_GB2312"/>
          <w:bCs/>
          <w:color w:val="000000"/>
          <w:kern w:val="0"/>
          <w:sz w:val="32"/>
          <w:szCs w:val="32"/>
        </w:rPr>
        <w:fldChar w:fldCharType="begin"/>
      </w:r>
      <w:r>
        <w:rPr>
          <w:rFonts w:ascii="仿宋_GB2312" w:eastAsia="仿宋_GB2312" w:cs="仿宋_GB2312"/>
          <w:bCs/>
          <w:color w:val="000000"/>
          <w:kern w:val="0"/>
          <w:sz w:val="32"/>
          <w:szCs w:val="32"/>
        </w:rPr>
        <w:instrText xml:space="preserve"> HYPERLINK "http://campus.51job.com/zlsxzhaopin/" </w:instrText>
      </w:r>
      <w:r>
        <w:rPr>
          <w:rFonts w:ascii="仿宋_GB2312" w:eastAsia="仿宋_GB2312" w:cs="仿宋_GB2312"/>
          <w:bCs/>
          <w:color w:val="000000"/>
          <w:kern w:val="0"/>
          <w:sz w:val="32"/>
          <w:szCs w:val="32"/>
        </w:rPr>
        <w:fldChar w:fldCharType="separate"/>
      </w:r>
      <w:r>
        <w:rPr>
          <w:rStyle w:val="8"/>
          <w:rFonts w:ascii="仿宋_GB2312" w:eastAsia="仿宋_GB2312" w:cs="仿宋_GB2312"/>
          <w:bCs/>
          <w:kern w:val="0"/>
          <w:sz w:val="32"/>
          <w:szCs w:val="32"/>
        </w:rPr>
        <w:t>http://campus.51job.com</w:t>
      </w:r>
      <w:bookmarkStart w:id="0" w:name="_Hlt113613519"/>
      <w:bookmarkStart w:id="1" w:name="_Hlt113613520"/>
      <w:r>
        <w:rPr>
          <w:rStyle w:val="8"/>
          <w:rFonts w:ascii="仿宋_GB2312" w:eastAsia="仿宋_GB2312" w:cs="仿宋_GB2312"/>
          <w:bCs/>
          <w:kern w:val="0"/>
          <w:sz w:val="32"/>
          <w:szCs w:val="32"/>
        </w:rPr>
        <w:t>/</w:t>
      </w:r>
      <w:bookmarkEnd w:id="0"/>
      <w:bookmarkEnd w:id="1"/>
      <w:r>
        <w:rPr>
          <w:rStyle w:val="8"/>
          <w:rFonts w:ascii="仿宋_GB2312" w:eastAsia="仿宋_GB2312" w:cs="仿宋_GB2312"/>
          <w:bCs/>
          <w:kern w:val="0"/>
          <w:sz w:val="32"/>
          <w:szCs w:val="32"/>
        </w:rPr>
        <w:t>zlsxzhaopin/</w:t>
      </w:r>
      <w:r>
        <w:rPr>
          <w:rFonts w:ascii="仿宋_GB2312" w:eastAsia="仿宋_GB2312" w:cs="仿宋_GB2312"/>
          <w:bCs/>
          <w:color w:val="000000"/>
          <w:kern w:val="0"/>
          <w:sz w:val="32"/>
          <w:szCs w:val="32"/>
        </w:rPr>
        <w:fldChar w:fldCharType="end"/>
      </w:r>
      <w:r>
        <w:rPr>
          <w:rFonts w:ascii="仿宋_GB2312" w:eastAsia="仿宋_GB2312" w:cs="仿宋_GB2312"/>
          <w:bCs/>
          <w:color w:val="000000"/>
          <w:kern w:val="0"/>
          <w:sz w:val="32"/>
          <w:szCs w:val="32"/>
        </w:rPr>
        <w:t xml:space="preserve"> </w:t>
      </w:r>
      <w:bookmarkEnd w:id="2"/>
      <w:r>
        <w:rPr>
          <w:rFonts w:hint="eastAsia" w:ascii="仿宋_GB2312" w:eastAsia="仿宋_GB2312" w:cs="仿宋_GB2312"/>
          <w:bCs/>
          <w:color w:val="000000"/>
          <w:kern w:val="0"/>
          <w:sz w:val="32"/>
          <w:szCs w:val="32"/>
        </w:rPr>
        <w:t>（</w:t>
      </w:r>
      <w:r>
        <w:rPr>
          <w:rFonts w:hint="eastAsia" w:ascii="仿宋_GB2312" w:eastAsia="仿宋_GB2312" w:cs="仿宋_GB2312"/>
          <w:bCs/>
          <w:kern w:val="0"/>
          <w:sz w:val="32"/>
          <w:szCs w:val="32"/>
        </w:rPr>
        <w:t>专利审查协作中心公共招聘平台）</w:t>
      </w:r>
    </w:p>
    <w:p>
      <w:pPr>
        <w:rPr>
          <w:rFonts w:hint="eastAsia"/>
        </w:rPr>
      </w:pPr>
      <w:r>
        <w:rPr>
          <w:rFonts w:ascii="仿宋_GB2312" w:eastAsia="仿宋_GB2312" w:cs="仿宋_GB2312"/>
          <w:bCs/>
          <w:kern w:val="0"/>
          <w:sz w:val="32"/>
          <w:szCs w:val="32"/>
        </w:rPr>
        <w:drawing>
          <wp:inline distT="0" distB="0" distL="114300" distR="114300">
            <wp:extent cx="1379220" cy="1379220"/>
            <wp:effectExtent l="0" t="0" r="7620" b="7620"/>
            <wp:docPr id="1" name="图片 1" descr="二维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二维码"/>
                    <pic:cNvPicPr>
                      <a:picLocks noChangeAspect="1"/>
                    </pic:cNvPicPr>
                  </pic:nvPicPr>
                  <pic:blipFill>
                    <a:blip r:embed="rId4"/>
                    <a:stretch>
                      <a:fillRect/>
                    </a:stretch>
                  </pic:blipFill>
                  <pic:spPr>
                    <a:xfrm>
                      <a:off x="0" y="0"/>
                      <a:ext cx="1379220" cy="1379220"/>
                    </a:xfrm>
                    <a:prstGeom prst="rect">
                      <a:avLst/>
                    </a:prstGeom>
                    <a:noFill/>
                    <a:ln>
                      <a:noFill/>
                    </a:ln>
                  </pic:spPr>
                </pic:pic>
              </a:graphicData>
            </a:graphic>
          </wp:inline>
        </w:drawing>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altName w:val="仿宋"/>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503AC7"/>
    <w:multiLevelType w:val="multilevel"/>
    <w:tmpl w:val="58503AC7"/>
    <w:lvl w:ilvl="0" w:tentative="0">
      <w:start w:val="1"/>
      <w:numFmt w:val="bullet"/>
      <w:lvlText w:val=""/>
      <w:lvlJc w:val="left"/>
      <w:pPr>
        <w:ind w:left="1060" w:hanging="420"/>
      </w:pPr>
      <w:rPr>
        <w:rFonts w:hint="default" w:ascii="Wingdings" w:hAnsi="Wingdings"/>
      </w:rPr>
    </w:lvl>
    <w:lvl w:ilvl="1" w:tentative="0">
      <w:start w:val="1"/>
      <w:numFmt w:val="bullet"/>
      <w:lvlText w:val=""/>
      <w:lvlJc w:val="left"/>
      <w:pPr>
        <w:ind w:left="1480" w:hanging="420"/>
      </w:pPr>
      <w:rPr>
        <w:rFonts w:hint="default" w:ascii="Wingdings" w:hAnsi="Wingdings"/>
      </w:rPr>
    </w:lvl>
    <w:lvl w:ilvl="2" w:tentative="0">
      <w:start w:val="1"/>
      <w:numFmt w:val="bullet"/>
      <w:lvlText w:val=""/>
      <w:lvlJc w:val="left"/>
      <w:pPr>
        <w:ind w:left="1900" w:hanging="420"/>
      </w:pPr>
      <w:rPr>
        <w:rFonts w:hint="default" w:ascii="Wingdings" w:hAnsi="Wingdings"/>
      </w:rPr>
    </w:lvl>
    <w:lvl w:ilvl="3" w:tentative="0">
      <w:start w:val="1"/>
      <w:numFmt w:val="bullet"/>
      <w:lvlText w:val=""/>
      <w:lvlJc w:val="left"/>
      <w:pPr>
        <w:ind w:left="2320" w:hanging="420"/>
      </w:pPr>
      <w:rPr>
        <w:rFonts w:hint="default" w:ascii="Wingdings" w:hAnsi="Wingdings"/>
      </w:rPr>
    </w:lvl>
    <w:lvl w:ilvl="4" w:tentative="0">
      <w:start w:val="1"/>
      <w:numFmt w:val="bullet"/>
      <w:lvlText w:val=""/>
      <w:lvlJc w:val="left"/>
      <w:pPr>
        <w:ind w:left="2740" w:hanging="420"/>
      </w:pPr>
      <w:rPr>
        <w:rFonts w:hint="default" w:ascii="Wingdings" w:hAnsi="Wingdings"/>
      </w:rPr>
    </w:lvl>
    <w:lvl w:ilvl="5" w:tentative="0">
      <w:start w:val="1"/>
      <w:numFmt w:val="bullet"/>
      <w:lvlText w:val=""/>
      <w:lvlJc w:val="left"/>
      <w:pPr>
        <w:ind w:left="3160" w:hanging="420"/>
      </w:pPr>
      <w:rPr>
        <w:rFonts w:hint="default" w:ascii="Wingdings" w:hAnsi="Wingdings"/>
      </w:rPr>
    </w:lvl>
    <w:lvl w:ilvl="6" w:tentative="0">
      <w:start w:val="1"/>
      <w:numFmt w:val="bullet"/>
      <w:lvlText w:val=""/>
      <w:lvlJc w:val="left"/>
      <w:pPr>
        <w:ind w:left="3580" w:hanging="420"/>
      </w:pPr>
      <w:rPr>
        <w:rFonts w:hint="default" w:ascii="Wingdings" w:hAnsi="Wingdings"/>
      </w:rPr>
    </w:lvl>
    <w:lvl w:ilvl="7" w:tentative="0">
      <w:start w:val="1"/>
      <w:numFmt w:val="bullet"/>
      <w:lvlText w:val=""/>
      <w:lvlJc w:val="left"/>
      <w:pPr>
        <w:ind w:left="4000" w:hanging="420"/>
      </w:pPr>
      <w:rPr>
        <w:rFonts w:hint="default" w:ascii="Wingdings" w:hAnsi="Wingdings"/>
      </w:rPr>
    </w:lvl>
    <w:lvl w:ilvl="8" w:tentative="0">
      <w:start w:val="1"/>
      <w:numFmt w:val="bullet"/>
      <w:lvlText w:val=""/>
      <w:lvlJc w:val="left"/>
      <w:pPr>
        <w:ind w:left="442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7DCA"/>
    <w:rsid w:val="000B0917"/>
    <w:rsid w:val="000D7DCA"/>
    <w:rsid w:val="00104000"/>
    <w:rsid w:val="0013211D"/>
    <w:rsid w:val="00501E42"/>
    <w:rsid w:val="0054536D"/>
    <w:rsid w:val="0060101D"/>
    <w:rsid w:val="006B03BD"/>
    <w:rsid w:val="006C5C6C"/>
    <w:rsid w:val="006E13F3"/>
    <w:rsid w:val="007200A8"/>
    <w:rsid w:val="00724C13"/>
    <w:rsid w:val="00983C83"/>
    <w:rsid w:val="00A6225C"/>
    <w:rsid w:val="00EB142A"/>
    <w:rsid w:val="02956965"/>
    <w:rsid w:val="13334BF2"/>
    <w:rsid w:val="299DD6AE"/>
    <w:rsid w:val="2D7E36FD"/>
    <w:rsid w:val="32BA0BCB"/>
    <w:rsid w:val="3EAB0813"/>
    <w:rsid w:val="4FFF7015"/>
    <w:rsid w:val="57E46F7B"/>
    <w:rsid w:val="57FF93C2"/>
    <w:rsid w:val="59DF3A2D"/>
    <w:rsid w:val="59FFD67E"/>
    <w:rsid w:val="5FEC37ED"/>
    <w:rsid w:val="6FF79513"/>
    <w:rsid w:val="6FFF5CEB"/>
    <w:rsid w:val="758D7B7D"/>
    <w:rsid w:val="786F9AC1"/>
    <w:rsid w:val="79FE2A18"/>
    <w:rsid w:val="7BBF9E2D"/>
    <w:rsid w:val="7D6F5E05"/>
    <w:rsid w:val="7FEFEAF0"/>
    <w:rsid w:val="7FFD8F06"/>
    <w:rsid w:val="9EF8CB82"/>
    <w:rsid w:val="B7B51EFE"/>
    <w:rsid w:val="BD7F6CBB"/>
    <w:rsid w:val="BF159E88"/>
    <w:rsid w:val="BFF38E2F"/>
    <w:rsid w:val="E1BCAB6F"/>
    <w:rsid w:val="E4FF9C0E"/>
    <w:rsid w:val="EDE34F47"/>
    <w:rsid w:val="F6BFA24E"/>
    <w:rsid w:val="F6EC67CA"/>
    <w:rsid w:val="F6FB5BF7"/>
    <w:rsid w:val="FE7286CB"/>
    <w:rsid w:val="FF7F3EF7"/>
    <w:rsid w:val="FFFE8D39"/>
    <w:rsid w:val="FFFFF1D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Style w:val="5"/>
      <w:tblCellMar>
        <w:top w:w="0" w:type="dxa"/>
        <w:left w:w="108" w:type="dxa"/>
        <w:bottom w:w="0" w:type="dxa"/>
        <w:right w:w="108" w:type="dxa"/>
      </w:tblCellMar>
    </w:tblPr>
  </w:style>
  <w:style w:type="paragraph" w:styleId="2">
    <w:name w:val="Balloon Text"/>
    <w:basedOn w:val="1"/>
    <w:link w:val="9"/>
    <w:uiPriority w:val="0"/>
    <w:rPr>
      <w:sz w:val="18"/>
      <w:szCs w:val="18"/>
    </w:rPr>
  </w:style>
  <w:style w:type="paragraph" w:styleId="3">
    <w:name w:val="footer"/>
    <w:basedOn w:val="1"/>
    <w:link w:val="10"/>
    <w:uiPriority w:val="0"/>
    <w:pPr>
      <w:tabs>
        <w:tab w:val="center" w:pos="4153"/>
        <w:tab w:val="right" w:pos="8306"/>
      </w:tabs>
      <w:snapToGrid w:val="0"/>
      <w:jc w:val="left"/>
    </w:pPr>
    <w:rPr>
      <w:sz w:val="18"/>
      <w:szCs w:val="18"/>
    </w:rPr>
  </w:style>
  <w:style w:type="paragraph" w:styleId="4">
    <w:name w:val="header"/>
    <w:basedOn w:val="1"/>
    <w:link w:val="11"/>
    <w:uiPriority w:val="0"/>
    <w:pPr>
      <w:pBdr>
        <w:bottom w:val="single" w:color="auto" w:sz="6" w:space="1"/>
      </w:pBdr>
      <w:tabs>
        <w:tab w:val="center" w:pos="4153"/>
        <w:tab w:val="right" w:pos="8306"/>
      </w:tabs>
      <w:snapToGrid w:val="0"/>
      <w:jc w:val="center"/>
    </w:pPr>
    <w:rPr>
      <w:sz w:val="18"/>
      <w:szCs w:val="18"/>
    </w:rPr>
  </w:style>
  <w:style w:type="character" w:styleId="7">
    <w:name w:val="FollowedHyperlink"/>
    <w:uiPriority w:val="0"/>
    <w:rPr>
      <w:color w:val="954F72"/>
      <w:u w:val="single"/>
    </w:rPr>
  </w:style>
  <w:style w:type="character" w:styleId="8">
    <w:name w:val="Hyperlink"/>
    <w:unhideWhenUsed/>
    <w:qFormat/>
    <w:uiPriority w:val="99"/>
    <w:rPr>
      <w:color w:val="0000FF"/>
      <w:u w:val="single"/>
    </w:rPr>
  </w:style>
  <w:style w:type="character" w:customStyle="1" w:styleId="9">
    <w:name w:val="批注框文本 字符"/>
    <w:link w:val="2"/>
    <w:uiPriority w:val="0"/>
    <w:rPr>
      <w:kern w:val="2"/>
      <w:sz w:val="18"/>
      <w:szCs w:val="18"/>
    </w:rPr>
  </w:style>
  <w:style w:type="character" w:customStyle="1" w:styleId="10">
    <w:name w:val="页脚 字符"/>
    <w:link w:val="3"/>
    <w:uiPriority w:val="0"/>
    <w:rPr>
      <w:kern w:val="2"/>
      <w:sz w:val="18"/>
      <w:szCs w:val="18"/>
    </w:rPr>
  </w:style>
  <w:style w:type="character" w:customStyle="1" w:styleId="11">
    <w:name w:val="页眉 字符"/>
    <w:link w:val="4"/>
    <w:uiPriority w:val="0"/>
    <w:rPr>
      <w:kern w:val="2"/>
      <w:sz w:val="18"/>
      <w:szCs w:val="18"/>
    </w:rPr>
  </w:style>
  <w:style w:type="paragraph" w:styleId="12">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633</Words>
  <Characters>689</Characters>
  <Lines>5</Lines>
  <Paragraphs>1</Paragraphs>
  <TotalTime>1</TotalTime>
  <ScaleCrop>false</ScaleCrop>
  <LinksUpToDate>false</LinksUpToDate>
  <CharactersWithSpaces>704</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2022-09-21T03:41:00Z</dcterms:created>
  <dc:creator>Administrator</dc:creator>
  <cp:lastModifiedBy>逸</cp:lastModifiedBy>
  <cp:lastPrinted>2022-03-02T08:47:00Z</cp:lastPrinted>
  <dcterms:modified xsi:type="dcterms:W3CDTF">2022-09-23T02:35:48Z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885DAFCC3A7A485BB42311D161E31A23</vt:lpwstr>
  </property>
</Properties>
</file>